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29A26" w14:textId="7191DB0A" w:rsidR="001F5BF1" w:rsidRPr="001F5BF1" w:rsidRDefault="001F5BF1" w:rsidP="001F5BF1">
      <w:r w:rsidRPr="001F5BF1">
        <w:drawing>
          <wp:inline distT="0" distB="0" distL="0" distR="0" wp14:anchorId="61835D51" wp14:editId="3FF5DBF9">
            <wp:extent cx="5760720" cy="3840480"/>
            <wp:effectExtent l="0" t="0" r="0" b="7620"/>
            <wp:docPr id="494325455" name="Resim 5" descr="Emilmeyen Sütürle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ilmeyen Sütürler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04DFD" w14:textId="77777777" w:rsidR="001F5BF1" w:rsidRPr="001F5BF1" w:rsidRDefault="001F5BF1" w:rsidP="001F5BF1">
      <w:r w:rsidRPr="001F5BF1">
        <w:t xml:space="preserve">Emilmeyen </w:t>
      </w:r>
      <w:proofErr w:type="spellStart"/>
      <w:r w:rsidRPr="001F5BF1">
        <w:t>Sütürler</w:t>
      </w:r>
      <w:proofErr w:type="spellEnd"/>
    </w:p>
    <w:p w14:paraId="338CC6DE" w14:textId="77777777" w:rsidR="001F5BF1" w:rsidRPr="001F5BF1" w:rsidRDefault="001F5BF1" w:rsidP="001F5BF1">
      <w:r w:rsidRPr="001F5BF1">
        <w:t xml:space="preserve">Doğsan emilmeyen </w:t>
      </w:r>
      <w:proofErr w:type="spellStart"/>
      <w:r w:rsidRPr="001F5BF1">
        <w:t>sütürlerin</w:t>
      </w:r>
      <w:proofErr w:type="spellEnd"/>
      <w:r w:rsidRPr="001F5BF1">
        <w:t xml:space="preserve">, monofilament veya </w:t>
      </w:r>
      <w:proofErr w:type="spellStart"/>
      <w:r w:rsidRPr="001F5BF1">
        <w:t>multifilament</w:t>
      </w:r>
      <w:proofErr w:type="spellEnd"/>
      <w:r w:rsidRPr="001F5BF1">
        <w:t xml:space="preserve"> (örgülü) çeşitleri de mevcuttur. Örgülü </w:t>
      </w:r>
      <w:proofErr w:type="spellStart"/>
      <w:r w:rsidRPr="001F5BF1">
        <w:t>sütürler</w:t>
      </w:r>
      <w:proofErr w:type="spellEnd"/>
      <w:r w:rsidRPr="001F5BF1">
        <w:t xml:space="preserve"> kapilariteyi azaltmak ve kayganlığı arttırmak için özel malzeme ile kaplanır. Doğsan emilmeyen </w:t>
      </w:r>
      <w:proofErr w:type="spellStart"/>
      <w:r w:rsidRPr="001F5BF1">
        <w:t>sütürleri</w:t>
      </w:r>
      <w:proofErr w:type="spellEnd"/>
      <w:r w:rsidRPr="001F5BF1">
        <w:t xml:space="preserve"> özelikle kardiyovasküler ve plastik cerrahi alanları olmak üzere tüm </w:t>
      </w:r>
      <w:proofErr w:type="gramStart"/>
      <w:r w:rsidRPr="001F5BF1">
        <w:t>cerrahi</w:t>
      </w:r>
      <w:proofErr w:type="gramEnd"/>
      <w:r w:rsidRPr="001F5BF1">
        <w:t xml:space="preserve"> branşlarında güvenle kullanılır.</w:t>
      </w:r>
    </w:p>
    <w:p w14:paraId="3AB608F7" w14:textId="77777777" w:rsidR="001F5BF1" w:rsidRPr="001F5BF1" w:rsidRDefault="001F5BF1" w:rsidP="001F5BF1">
      <w:r w:rsidRPr="001F5BF1">
        <w:br/>
      </w:r>
      <w:hyperlink r:id="rId5" w:history="1">
        <w:r w:rsidRPr="001F5BF1">
          <w:rPr>
            <w:rStyle w:val="Kpr"/>
          </w:rPr>
          <w:t>Daha Fazlası</w:t>
        </w:r>
      </w:hyperlink>
    </w:p>
    <w:p w14:paraId="7482CF28" w14:textId="77777777" w:rsidR="001F5BF1" w:rsidRPr="001F5BF1" w:rsidRDefault="001F5BF1" w:rsidP="001F5BF1">
      <w:r w:rsidRPr="001F5BF1">
        <w:t xml:space="preserve">Emilebilir </w:t>
      </w:r>
      <w:proofErr w:type="spellStart"/>
      <w:r w:rsidRPr="001F5BF1">
        <w:t>Sütürler</w:t>
      </w:r>
      <w:proofErr w:type="spellEnd"/>
    </w:p>
    <w:p w14:paraId="59523328" w14:textId="77777777" w:rsidR="001F5BF1" w:rsidRPr="001F5BF1" w:rsidRDefault="001F5BF1" w:rsidP="001F5BF1">
      <w:r w:rsidRPr="001F5BF1">
        <w:t xml:space="preserve">Doğsan emilebilir </w:t>
      </w:r>
      <w:proofErr w:type="spellStart"/>
      <w:r w:rsidRPr="001F5BF1">
        <w:t>sütürleri</w:t>
      </w:r>
      <w:proofErr w:type="spellEnd"/>
      <w:r w:rsidRPr="001F5BF1">
        <w:t xml:space="preserve">, tahmin edilebilir emilim profiline sahip sentetik polimerden üretilmiştir. Monofilament veya </w:t>
      </w:r>
      <w:proofErr w:type="spellStart"/>
      <w:r w:rsidRPr="001F5BF1">
        <w:t>multifilament</w:t>
      </w:r>
      <w:proofErr w:type="spellEnd"/>
      <w:r w:rsidRPr="001F5BF1">
        <w:t xml:space="preserve"> (örgülü) çeşitleri mevcuttur. Örgülü </w:t>
      </w:r>
      <w:proofErr w:type="spellStart"/>
      <w:r w:rsidRPr="001F5BF1">
        <w:t>sütürler</w:t>
      </w:r>
      <w:proofErr w:type="spellEnd"/>
      <w:r w:rsidRPr="001F5BF1">
        <w:t xml:space="preserve"> dokudan rahat geçebilmesi için kaplanmış ve kayganlığı arttırılmıştır. Emilebilir </w:t>
      </w:r>
      <w:proofErr w:type="spellStart"/>
      <w:r w:rsidRPr="001F5BF1">
        <w:t>sütür</w:t>
      </w:r>
      <w:proofErr w:type="spellEnd"/>
      <w:r w:rsidRPr="001F5BF1">
        <w:t xml:space="preserve"> tipleri değişen sürelerdeki doku destek süreleri ile her uygulama için cerrahın tercih ettiği en uygun seçimleri sunmaktadır.</w:t>
      </w:r>
    </w:p>
    <w:p w14:paraId="418168A9" w14:textId="77777777" w:rsidR="001F5BF1" w:rsidRPr="001F5BF1" w:rsidRDefault="001F5BF1" w:rsidP="001F5BF1">
      <w:r w:rsidRPr="001F5BF1">
        <w:br/>
      </w:r>
      <w:hyperlink r:id="rId6" w:history="1">
        <w:r w:rsidRPr="001F5BF1">
          <w:rPr>
            <w:rStyle w:val="Kpr"/>
          </w:rPr>
          <w:t>Daha Fazlası</w:t>
        </w:r>
      </w:hyperlink>
    </w:p>
    <w:p w14:paraId="1C990126" w14:textId="1929A720" w:rsidR="001F5BF1" w:rsidRPr="001F5BF1" w:rsidRDefault="001F5BF1" w:rsidP="001F5BF1">
      <w:r w:rsidRPr="001F5BF1">
        <w:lastRenderedPageBreak/>
        <w:drawing>
          <wp:inline distT="0" distB="0" distL="0" distR="0" wp14:anchorId="079FE656" wp14:editId="694CBCDA">
            <wp:extent cx="5760720" cy="3840480"/>
            <wp:effectExtent l="0" t="0" r="0" b="7620"/>
            <wp:docPr id="1298613351" name="Resim 4" descr="Emilebilir Sütür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ilebilir Sütürl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DDBE8" w14:textId="28763FC2" w:rsidR="001F5BF1" w:rsidRPr="001F5BF1" w:rsidRDefault="001F5BF1" w:rsidP="001F5BF1">
      <w:r w:rsidRPr="001F5BF1">
        <w:drawing>
          <wp:inline distT="0" distB="0" distL="0" distR="0" wp14:anchorId="1C543907" wp14:editId="6C5DE5FB">
            <wp:extent cx="5760720" cy="3840480"/>
            <wp:effectExtent l="0" t="0" r="0" b="7620"/>
            <wp:docPr id="1702648358" name="Resim 3" descr="Kv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v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A2999" w14:textId="77777777" w:rsidR="001F5BF1" w:rsidRPr="001F5BF1" w:rsidRDefault="001F5BF1" w:rsidP="001F5BF1">
      <w:proofErr w:type="spellStart"/>
      <w:r w:rsidRPr="001F5BF1">
        <w:t>Kvc</w:t>
      </w:r>
      <w:proofErr w:type="spellEnd"/>
    </w:p>
    <w:p w14:paraId="619AB603" w14:textId="77777777" w:rsidR="001F5BF1" w:rsidRPr="001F5BF1" w:rsidRDefault="001F5BF1" w:rsidP="001F5BF1">
      <w:proofErr w:type="spellStart"/>
      <w:r w:rsidRPr="001F5BF1">
        <w:t>Tektel</w:t>
      </w:r>
      <w:proofErr w:type="spellEnd"/>
      <w:r w:rsidRPr="001F5BF1">
        <w:t xml:space="preserve">, </w:t>
      </w:r>
      <w:proofErr w:type="spellStart"/>
      <w:r w:rsidRPr="001F5BF1">
        <w:t>Politer®K-Pak</w:t>
      </w:r>
      <w:proofErr w:type="spellEnd"/>
      <w:r w:rsidRPr="001F5BF1">
        <w:t xml:space="preserve">, </w:t>
      </w:r>
      <w:proofErr w:type="spellStart"/>
      <w:r w:rsidRPr="001F5BF1">
        <w:t>Dopace</w:t>
      </w:r>
      <w:proofErr w:type="spellEnd"/>
      <w:r w:rsidRPr="001F5BF1">
        <w:t xml:space="preserve">®, Propilen®, </w:t>
      </w:r>
      <w:proofErr w:type="spellStart"/>
      <w:r w:rsidRPr="001F5BF1">
        <w:t>Daxton</w:t>
      </w:r>
      <w:proofErr w:type="spellEnd"/>
      <w:r w:rsidRPr="001F5BF1">
        <w:t>®-K</w:t>
      </w:r>
    </w:p>
    <w:p w14:paraId="07456C5B" w14:textId="77777777" w:rsidR="001F5BF1" w:rsidRPr="001F5BF1" w:rsidRDefault="001F5BF1" w:rsidP="001F5BF1">
      <w:r w:rsidRPr="001F5BF1">
        <w:br/>
      </w:r>
      <w:hyperlink r:id="rId9" w:history="1">
        <w:r w:rsidRPr="001F5BF1">
          <w:rPr>
            <w:rStyle w:val="Kpr"/>
          </w:rPr>
          <w:t>Daha Fazlası</w:t>
        </w:r>
      </w:hyperlink>
    </w:p>
    <w:p w14:paraId="0D5A9BAE" w14:textId="77777777" w:rsidR="001F5BF1" w:rsidRPr="001F5BF1" w:rsidRDefault="001F5BF1" w:rsidP="001F5BF1">
      <w:r w:rsidRPr="001F5BF1">
        <w:lastRenderedPageBreak/>
        <w:t xml:space="preserve">Dental </w:t>
      </w:r>
      <w:proofErr w:type="spellStart"/>
      <w:r w:rsidRPr="001F5BF1">
        <w:t>Sütürler</w:t>
      </w:r>
      <w:proofErr w:type="spellEnd"/>
    </w:p>
    <w:p w14:paraId="681313A9" w14:textId="77777777" w:rsidR="001F5BF1" w:rsidRPr="001F5BF1" w:rsidRDefault="001F5BF1" w:rsidP="001F5BF1">
      <w:r w:rsidRPr="001F5BF1">
        <w:t xml:space="preserve">Dental operasyonlara uygun kullanım hassasiyetine sahip </w:t>
      </w:r>
      <w:proofErr w:type="spellStart"/>
      <w:r w:rsidRPr="001F5BF1">
        <w:t>sütür</w:t>
      </w:r>
      <w:proofErr w:type="spellEnd"/>
      <w:r w:rsidRPr="001F5BF1">
        <w:t xml:space="preserve"> çeşitleridir.</w:t>
      </w:r>
    </w:p>
    <w:p w14:paraId="3EE6361A" w14:textId="77777777" w:rsidR="001F5BF1" w:rsidRPr="001F5BF1" w:rsidRDefault="001F5BF1" w:rsidP="001F5BF1">
      <w:r w:rsidRPr="001F5BF1">
        <w:br/>
      </w:r>
      <w:hyperlink r:id="rId10" w:history="1">
        <w:r w:rsidRPr="001F5BF1">
          <w:rPr>
            <w:rStyle w:val="Kpr"/>
          </w:rPr>
          <w:t>Daha Fazlası</w:t>
        </w:r>
      </w:hyperlink>
    </w:p>
    <w:p w14:paraId="20B65904" w14:textId="5FCC1CC0" w:rsidR="001F5BF1" w:rsidRPr="001F5BF1" w:rsidRDefault="001F5BF1" w:rsidP="001F5BF1">
      <w:r w:rsidRPr="001F5BF1">
        <w:drawing>
          <wp:inline distT="0" distB="0" distL="0" distR="0" wp14:anchorId="661C7577" wp14:editId="4A16EBB9">
            <wp:extent cx="5760720" cy="3840480"/>
            <wp:effectExtent l="0" t="0" r="0" b="7620"/>
            <wp:docPr id="1197061169" name="Resim 2" descr="Dental Sütür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ntal Sütürl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1B291" w14:textId="2C7FB260" w:rsidR="001F5BF1" w:rsidRPr="001F5BF1" w:rsidRDefault="001F5BF1" w:rsidP="001F5BF1">
      <w:r w:rsidRPr="001F5BF1">
        <w:drawing>
          <wp:inline distT="0" distB="0" distL="0" distR="0" wp14:anchorId="6CD351B6" wp14:editId="0F3046C0">
            <wp:extent cx="5760720" cy="3840480"/>
            <wp:effectExtent l="0" t="0" r="0" b="7620"/>
            <wp:docPr id="126308053" name="Resim 1" descr="Emilebilir Hemost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ilebilir Hemosta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1C6D" w14:textId="77777777" w:rsidR="001F5BF1" w:rsidRPr="001F5BF1" w:rsidRDefault="001F5BF1" w:rsidP="001F5BF1">
      <w:r w:rsidRPr="001F5BF1">
        <w:lastRenderedPageBreak/>
        <w:t xml:space="preserve">Emilebilir </w:t>
      </w:r>
      <w:proofErr w:type="spellStart"/>
      <w:r w:rsidRPr="001F5BF1">
        <w:t>Hemostat</w:t>
      </w:r>
      <w:proofErr w:type="spellEnd"/>
    </w:p>
    <w:p w14:paraId="05CB3A79" w14:textId="77777777" w:rsidR="001F5BF1" w:rsidRPr="001F5BF1" w:rsidRDefault="001F5BF1" w:rsidP="001F5BF1">
      <w:proofErr w:type="spellStart"/>
      <w:r w:rsidRPr="001F5BF1">
        <w:t>Kanstat</w:t>
      </w:r>
      <w:proofErr w:type="spellEnd"/>
      <w:r w:rsidRPr="001F5BF1">
        <w:t xml:space="preserve">® emilebilir </w:t>
      </w:r>
      <w:proofErr w:type="spellStart"/>
      <w:r w:rsidRPr="001F5BF1">
        <w:t>hemostat</w:t>
      </w:r>
      <w:proofErr w:type="spellEnd"/>
      <w:r w:rsidRPr="001F5BF1">
        <w:t>, rejenere selülozun kontrollü oksitlenmesiyle hazırlanan steril emilebilir tıbbi tekstil malzemesidir. Beyaz uçuk sarı gölgeli renktedir ve karamele benzer hafif bir kokusu vardır. Bekledikçe rengi hafifçe koyulaşabilir, ama bu performansını etkilemez.</w:t>
      </w:r>
    </w:p>
    <w:p w14:paraId="608EE243" w14:textId="77777777" w:rsidR="001F5BF1" w:rsidRPr="001F5BF1" w:rsidRDefault="001F5BF1" w:rsidP="001F5BF1">
      <w:r w:rsidRPr="001F5BF1">
        <w:br/>
      </w:r>
      <w:hyperlink r:id="rId13" w:history="1">
        <w:r w:rsidRPr="001F5BF1">
          <w:rPr>
            <w:rStyle w:val="Kpr"/>
          </w:rPr>
          <w:t>Daha Fazlası</w:t>
        </w:r>
      </w:hyperlink>
    </w:p>
    <w:p w14:paraId="18D3C2E7" w14:textId="77777777" w:rsidR="00936B94" w:rsidRDefault="00936B94"/>
    <w:sectPr w:rsidR="00936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5C"/>
    <w:rsid w:val="001F5BF1"/>
    <w:rsid w:val="00656BD4"/>
    <w:rsid w:val="007D4AD0"/>
    <w:rsid w:val="00936B94"/>
    <w:rsid w:val="00D64AF6"/>
    <w:rsid w:val="00E8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E2BCA-466C-4BB9-A3AB-09C68C90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81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81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81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81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81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81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81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81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81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81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81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81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8135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8135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8135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8135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8135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8135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81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81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81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81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81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8135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8135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8135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81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8135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8135C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1F5BF1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F5B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5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09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34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6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7819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33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1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4514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781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7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6922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95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2939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12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04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4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dogsan.com.tr/tr/emilebilir-hemostat-3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gsan.com.tr/tr/emilebilir-suturler-37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dogsan.com.tr/tr/emilmeyen-suturler-2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dogsan.com.tr/tr/dental-suturler-3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dogsan.com.tr/tr/kvc-2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 KORKMAZ</dc:creator>
  <cp:keywords/>
  <dc:description/>
  <cp:lastModifiedBy>baris KORKMAZ</cp:lastModifiedBy>
  <cp:revision>2</cp:revision>
  <dcterms:created xsi:type="dcterms:W3CDTF">2024-09-04T06:55:00Z</dcterms:created>
  <dcterms:modified xsi:type="dcterms:W3CDTF">2024-09-04T06:55:00Z</dcterms:modified>
</cp:coreProperties>
</file>